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CFA3" w14:textId="77777777" w:rsidR="00F04316" w:rsidRDefault="0027308F" w:rsidP="00960599">
      <w:pPr>
        <w:pStyle w:val="Title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Ticket to Work</w:t>
      </w:r>
    </w:p>
    <w:p w14:paraId="63538943" w14:textId="77777777" w:rsidR="00D2357F" w:rsidRPr="00D2357F" w:rsidRDefault="0027308F" w:rsidP="00D2357F">
      <w:pPr>
        <w:pStyle w:val="Title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Timely Progress Reviews</w:t>
      </w:r>
      <w:r w:rsidR="00C05633">
        <w:rPr>
          <w:rFonts w:ascii="Arial" w:hAnsi="Arial" w:cs="Arial"/>
          <w:sz w:val="32"/>
          <w:szCs w:val="32"/>
        </w:rPr>
        <w:t xml:space="preserve"> </w:t>
      </w:r>
      <w:r w:rsidR="00D2357F">
        <w:rPr>
          <w:rFonts w:ascii="Arial" w:hAnsi="Arial" w:cs="Arial"/>
          <w:sz w:val="32"/>
          <w:szCs w:val="32"/>
        </w:rPr>
        <w:t>Fact Sheet</w:t>
      </w:r>
    </w:p>
    <w:p w14:paraId="16C5CDF9" w14:textId="77777777" w:rsidR="00705441" w:rsidRDefault="0027308F" w:rsidP="00436E40">
      <w:pPr>
        <w:pStyle w:val="Heading1"/>
      </w:pPr>
      <w:r>
        <w:t>What are they?</w:t>
      </w:r>
    </w:p>
    <w:p w14:paraId="3D7B7BE2" w14:textId="2B0198EF" w:rsidR="0027308F" w:rsidRDefault="0027308F" w:rsidP="0027308F">
      <w:pPr>
        <w:pStyle w:val="PlainText"/>
      </w:pPr>
      <w:r>
        <w:t xml:space="preserve">When consumers use the Ticket to Work (TTW) program, Social Security Administration (SSA) encourages them to make “timely progress towards employment.” Timely progress is measured by SSA’s </w:t>
      </w:r>
      <w:r w:rsidR="00C0350D">
        <w:t xml:space="preserve">annual </w:t>
      </w:r>
      <w:r>
        <w:t>Timely Progress Reviews</w:t>
      </w:r>
      <w:r w:rsidR="00900870">
        <w:t xml:space="preserve"> </w:t>
      </w:r>
      <w:r>
        <w:t>(TPRs).</w:t>
      </w:r>
    </w:p>
    <w:p w14:paraId="454C704E" w14:textId="77777777" w:rsidR="0027308F" w:rsidRDefault="0027308F" w:rsidP="00436E40">
      <w:pPr>
        <w:pStyle w:val="Heading1"/>
      </w:pPr>
      <w:r>
        <w:t>How do they work?</w:t>
      </w:r>
    </w:p>
    <w:p w14:paraId="207D4D0F" w14:textId="77777777" w:rsidR="00900870" w:rsidRDefault="00900870" w:rsidP="0027308F">
      <w:pPr>
        <w:pStyle w:val="PlainText"/>
      </w:pPr>
      <w:r>
        <w:t>When a consumer’s ticket is In-Use with a State Vocational Rehabilitation (VR) Agency or assigned to an Employment Network (EN), SSA will perform a TPR every year</w:t>
      </w:r>
      <w:r w:rsidR="0027308F">
        <w:t xml:space="preserve"> to determine if the individual is meeting the Timely Progress benchmarks</w:t>
      </w:r>
      <w:r w:rsidR="00C0350D">
        <w:t xml:space="preserve"> determined by SSA</w:t>
      </w:r>
      <w:r w:rsidR="0027308F">
        <w:t xml:space="preserve">. </w:t>
      </w:r>
      <w:r>
        <w:t xml:space="preserve">The benchmarks are different every year with increasing education and employment milestones for every </w:t>
      </w:r>
      <w:proofErr w:type="gramStart"/>
      <w:r>
        <w:t>12 month</w:t>
      </w:r>
      <w:proofErr w:type="gramEnd"/>
      <w:r>
        <w:t xml:space="preserve"> period.</w:t>
      </w:r>
    </w:p>
    <w:p w14:paraId="0202016F" w14:textId="732624A4" w:rsidR="00900870" w:rsidRDefault="00900870" w:rsidP="00C0350D">
      <w:pPr>
        <w:pStyle w:val="PlainText"/>
        <w:spacing w:before="120"/>
      </w:pPr>
      <w:r>
        <w:t>TPRs will be sent directly to consumers to be completed and returned to SSA.</w:t>
      </w:r>
    </w:p>
    <w:p w14:paraId="21FDAFA8" w14:textId="77777777" w:rsidR="0027308F" w:rsidRDefault="0027308F" w:rsidP="00436E40">
      <w:pPr>
        <w:pStyle w:val="Heading1"/>
      </w:pPr>
      <w:r>
        <w:t>Why are they important?</w:t>
      </w:r>
    </w:p>
    <w:p w14:paraId="1C487995" w14:textId="77777777" w:rsidR="00C0350D" w:rsidRDefault="00900870" w:rsidP="00C0350D">
      <w:r>
        <w:t xml:space="preserve">When </w:t>
      </w:r>
      <w:r w:rsidR="00436599">
        <w:t>consumer</w:t>
      </w:r>
      <w:r w:rsidR="0027308F">
        <w:t>s</w:t>
      </w:r>
      <w:r w:rsidR="00436599">
        <w:t xml:space="preserve"> use their ticket and are meeting the TPR benchmarks, they are excused from medical </w:t>
      </w:r>
      <w:r w:rsidR="0027308F">
        <w:t>Continuing Disability Reviews (medical CDRs)</w:t>
      </w:r>
      <w:r w:rsidR="00436599">
        <w:t>.</w:t>
      </w:r>
    </w:p>
    <w:p w14:paraId="236D006E" w14:textId="77777777" w:rsidR="006266A1" w:rsidRPr="00CC5CB9" w:rsidRDefault="00CC5CB9" w:rsidP="00C0350D">
      <w:pPr>
        <w:spacing w:before="120"/>
      </w:pPr>
      <w:r>
        <w:t xml:space="preserve">If a consumer does not </w:t>
      </w:r>
      <w:r w:rsidR="006266A1">
        <w:t>meet SSA’s Timely Progress benchmarks, there is no direct impact on their benefits</w:t>
      </w:r>
      <w:r w:rsidR="00D2357F">
        <w:t xml:space="preserve">. </w:t>
      </w:r>
      <w:r>
        <w:t xml:space="preserve">The only consequence is that they will no longer be excused from medical </w:t>
      </w:r>
      <w:proofErr w:type="spellStart"/>
      <w:r>
        <w:t>CDRs.</w:t>
      </w:r>
      <w:proofErr w:type="spellEnd"/>
      <w:r>
        <w:t xml:space="preserve"> This will not </w:t>
      </w:r>
      <w:r>
        <w:rPr>
          <w:i/>
        </w:rPr>
        <w:t>trigger</w:t>
      </w:r>
      <w:r>
        <w:t xml:space="preserve"> a medical CDR, but they will receive one whenever they are typically scheduled (every 1, 3, 5 or more years).</w:t>
      </w:r>
    </w:p>
    <w:p w14:paraId="27B63163" w14:textId="77777777" w:rsidR="006266A1" w:rsidRDefault="006C69A7" w:rsidP="00436E40">
      <w:pPr>
        <w:pStyle w:val="Heading1"/>
      </w:pPr>
      <w:r>
        <w:t>VRSD Team’s R</w:t>
      </w:r>
      <w:r w:rsidR="006266A1">
        <w:t>ole</w:t>
      </w:r>
    </w:p>
    <w:p w14:paraId="13916A00" w14:textId="77777777" w:rsidR="006C69A7" w:rsidRDefault="006C69A7" w:rsidP="00CC5CB9">
      <w:pPr>
        <w:pStyle w:val="Heading2"/>
      </w:pPr>
      <w:r>
        <w:t>Counselor</w:t>
      </w:r>
    </w:p>
    <w:p w14:paraId="4C9C3CF8" w14:textId="1958AB14" w:rsidR="00CC5CB9" w:rsidRDefault="00CC5CB9" w:rsidP="00C0350D">
      <w:pPr>
        <w:pStyle w:val="Heading3"/>
        <w:spacing w:before="0"/>
      </w:pPr>
      <w:r>
        <w:t>At Intake:</w:t>
      </w:r>
    </w:p>
    <w:p w14:paraId="20DBCE10" w14:textId="79A7EFB6" w:rsidR="00CC5CB9" w:rsidRDefault="006C69A7" w:rsidP="006266A1">
      <w:pPr>
        <w:pStyle w:val="PlainText"/>
        <w:numPr>
          <w:ilvl w:val="0"/>
          <w:numId w:val="8"/>
        </w:numPr>
      </w:pPr>
      <w:r>
        <w:t>U</w:t>
      </w:r>
      <w:r w:rsidR="00CC5CB9">
        <w:t xml:space="preserve">se the </w:t>
      </w:r>
      <w:hyperlink r:id="rId8" w:history="1">
        <w:r w:rsidR="00270075">
          <w:rPr>
            <w:rStyle w:val="Hyperlink"/>
          </w:rPr>
          <w:t>TTW Protocol for DOR Staff</w:t>
        </w:r>
      </w:hyperlink>
      <w:r w:rsidR="00CC5CB9">
        <w:t xml:space="preserve"> for guidance on how to verify a consumer’s current ticket status.</w:t>
      </w:r>
    </w:p>
    <w:p w14:paraId="2B7CF8BB" w14:textId="2C5EADC4" w:rsidR="00CC5CB9" w:rsidRDefault="00CC5CB9" w:rsidP="006C69A7">
      <w:pPr>
        <w:pStyle w:val="PlainText"/>
        <w:numPr>
          <w:ilvl w:val="0"/>
          <w:numId w:val="8"/>
        </w:numPr>
      </w:pPr>
      <w:r>
        <w:t xml:space="preserve">Provide the consumer with the </w:t>
      </w:r>
      <w:hyperlink r:id="rId9" w:history="1">
        <w:r w:rsidRPr="006C69A7">
          <w:rPr>
            <w:rStyle w:val="Hyperlink"/>
          </w:rPr>
          <w:t xml:space="preserve">DOR’s Beneficiary Fact Sheet on the TTW </w:t>
        </w:r>
        <w:r w:rsidR="006C69A7" w:rsidRPr="006C69A7">
          <w:rPr>
            <w:rStyle w:val="Hyperlink"/>
          </w:rPr>
          <w:t>P</w:t>
        </w:r>
        <w:r w:rsidRPr="006C69A7">
          <w:rPr>
            <w:rStyle w:val="Hyperlink"/>
          </w:rPr>
          <w:t>rogram</w:t>
        </w:r>
      </w:hyperlink>
      <w:r w:rsidR="006C69A7">
        <w:t>.</w:t>
      </w:r>
    </w:p>
    <w:p w14:paraId="745EEB42" w14:textId="3AA403F7" w:rsidR="00CC5CB9" w:rsidRDefault="00CC5CB9" w:rsidP="00C0350D">
      <w:pPr>
        <w:pStyle w:val="Heading3"/>
        <w:spacing w:before="120"/>
      </w:pPr>
      <w:r>
        <w:t>Prior to IPE Development and Approval:</w:t>
      </w:r>
    </w:p>
    <w:p w14:paraId="78742E32" w14:textId="4138F578" w:rsidR="00CC5CB9" w:rsidRDefault="00CC5CB9" w:rsidP="006C69A7">
      <w:pPr>
        <w:pStyle w:val="PlainText"/>
        <w:numPr>
          <w:ilvl w:val="0"/>
          <w:numId w:val="9"/>
        </w:numPr>
      </w:pPr>
      <w:r>
        <w:t>When developing the IPE, ensure the consumer understands TPRs and that his/her ticket will be placed In-Use with DOR upon IPE approval.</w:t>
      </w:r>
    </w:p>
    <w:p w14:paraId="1C1D31AC" w14:textId="77777777" w:rsidR="004679D3" w:rsidRDefault="004679D3" w:rsidP="006C69A7">
      <w:pPr>
        <w:pStyle w:val="PlainText"/>
        <w:numPr>
          <w:ilvl w:val="0"/>
          <w:numId w:val="9"/>
        </w:numPr>
      </w:pPr>
      <w:r>
        <w:t>Ensure consumer understands the TTW language on the IPE above the signature line.</w:t>
      </w:r>
    </w:p>
    <w:p w14:paraId="2707508E" w14:textId="77777777" w:rsidR="006C69A7" w:rsidRDefault="006C69A7" w:rsidP="006266A1">
      <w:pPr>
        <w:pStyle w:val="PlainText"/>
      </w:pPr>
    </w:p>
    <w:p w14:paraId="5EAA0C7C" w14:textId="77777777" w:rsidR="00CC5CB9" w:rsidRDefault="006C69A7" w:rsidP="006C69A7">
      <w:pPr>
        <w:pStyle w:val="Heading2"/>
      </w:pPr>
      <w:r>
        <w:t>Counselor and/or Work Incentives Planner (if applicable)</w:t>
      </w:r>
    </w:p>
    <w:p w14:paraId="3CADD407" w14:textId="77777777" w:rsidR="006C69A7" w:rsidRDefault="006C69A7" w:rsidP="00C0350D">
      <w:pPr>
        <w:pStyle w:val="Heading3"/>
        <w:spacing w:before="0"/>
      </w:pPr>
      <w:r>
        <w:t>During the Case</w:t>
      </w:r>
    </w:p>
    <w:p w14:paraId="73ABE85B" w14:textId="412DD529" w:rsidR="006C69A7" w:rsidRDefault="006C69A7" w:rsidP="006C69A7">
      <w:pPr>
        <w:pStyle w:val="ListParagraph"/>
        <w:numPr>
          <w:ilvl w:val="0"/>
          <w:numId w:val="9"/>
        </w:numPr>
      </w:pPr>
      <w:r>
        <w:t xml:space="preserve">Verify ticket is placed In-Use with DOR once IPE is </w:t>
      </w:r>
      <w:proofErr w:type="gramStart"/>
      <w:r>
        <w:t>approved</w:t>
      </w:r>
      <w:proofErr w:type="gramEnd"/>
    </w:p>
    <w:p w14:paraId="24FDE6C4" w14:textId="77777777" w:rsidR="006C69A7" w:rsidRDefault="006C69A7" w:rsidP="006C69A7">
      <w:pPr>
        <w:pStyle w:val="ListParagraph"/>
        <w:numPr>
          <w:ilvl w:val="0"/>
          <w:numId w:val="9"/>
        </w:numPr>
      </w:pPr>
      <w:r>
        <w:t xml:space="preserve">Assist consumer to complete TPR paperwork if </w:t>
      </w:r>
      <w:proofErr w:type="gramStart"/>
      <w:r>
        <w:t>needed</w:t>
      </w:r>
      <w:proofErr w:type="gramEnd"/>
    </w:p>
    <w:p w14:paraId="3B8AC2D9" w14:textId="77777777" w:rsidR="006C69A7" w:rsidRDefault="006C69A7" w:rsidP="00C0350D">
      <w:pPr>
        <w:pStyle w:val="Heading3"/>
        <w:spacing w:before="120"/>
      </w:pPr>
      <w:r>
        <w:t>At Case Closure</w:t>
      </w:r>
    </w:p>
    <w:p w14:paraId="5561C9E9" w14:textId="77777777" w:rsidR="006C69A7" w:rsidRDefault="006C69A7" w:rsidP="006C69A7">
      <w:pPr>
        <w:pStyle w:val="ListParagraph"/>
        <w:numPr>
          <w:ilvl w:val="0"/>
          <w:numId w:val="10"/>
        </w:numPr>
      </w:pPr>
      <w:r>
        <w:t xml:space="preserve">Refer consumer to </w:t>
      </w:r>
      <w:hyperlink r:id="rId10" w:history="1">
        <w:r w:rsidRPr="00E4422D">
          <w:rPr>
            <w:rStyle w:val="Hyperlink"/>
          </w:rPr>
          <w:t>www.choosework.net</w:t>
        </w:r>
      </w:hyperlink>
      <w:r>
        <w:t xml:space="preserve"> for a directory of ENs available to provide ongoing support and to continue medical CDR protection (if applicable)</w:t>
      </w:r>
    </w:p>
    <w:p w14:paraId="238BC9A3" w14:textId="29EE0B29" w:rsidR="006C69A7" w:rsidRDefault="006C69A7" w:rsidP="006C69A7">
      <w:pPr>
        <w:pStyle w:val="ListParagraph"/>
        <w:numPr>
          <w:ilvl w:val="1"/>
          <w:numId w:val="10"/>
        </w:numPr>
      </w:pPr>
      <w:r>
        <w:t xml:space="preserve">If consumer was referred to DOR by an EN, use the </w:t>
      </w:r>
      <w:hyperlink r:id="rId11" w:history="1">
        <w:r w:rsidRPr="00335E44">
          <w:rPr>
            <w:rStyle w:val="Hyperlink"/>
          </w:rPr>
          <w:t>DR343B</w:t>
        </w:r>
      </w:hyperlink>
      <w:r>
        <w:t xml:space="preserve"> to refer the consumer back to the same EN</w:t>
      </w:r>
    </w:p>
    <w:p w14:paraId="44C32B76" w14:textId="77777777" w:rsidR="00A93F2F" w:rsidRDefault="00A93F2F" w:rsidP="00436E40">
      <w:pPr>
        <w:pStyle w:val="Heading1"/>
      </w:pPr>
      <w:r>
        <w:t>Timely Progress Benchmarks</w:t>
      </w:r>
    </w:p>
    <w:p w14:paraId="0E671F05" w14:textId="77777777" w:rsidR="00C0350D" w:rsidRPr="00C0350D" w:rsidRDefault="00C0350D" w:rsidP="00C0350D">
      <w:r>
        <w:t>The Timely Progress benchmarks below are determined by SSA and apply to all SSI/SSDI consumers who are using their ticket with a State VR Agency or EN.</w:t>
      </w:r>
    </w:p>
    <w:p w14:paraId="251DAB6E" w14:textId="77777777" w:rsidR="00C0350D" w:rsidRDefault="00C0350D" w:rsidP="00436E40">
      <w:pPr>
        <w:pStyle w:val="Heading2"/>
        <w:spacing w:before="120"/>
        <w:rPr>
          <w:szCs w:val="28"/>
        </w:rPr>
      </w:pPr>
      <w:r w:rsidRPr="00F634EC">
        <w:t>During Each 12-month Progress Review Period</w:t>
      </w:r>
      <w:r>
        <w:t>:</w:t>
      </w:r>
    </w:p>
    <w:p w14:paraId="7E465FAB" w14:textId="77777777" w:rsidR="00C0350D" w:rsidRPr="00C0350D" w:rsidRDefault="00C0350D" w:rsidP="00E52C12">
      <w:pPr>
        <w:pStyle w:val="Heading3"/>
        <w:spacing w:before="120"/>
      </w:pPr>
      <w:r w:rsidRPr="00C0350D">
        <w:t>1</w:t>
      </w:r>
      <w:r w:rsidRPr="00C0350D">
        <w:rPr>
          <w:vertAlign w:val="superscript"/>
        </w:rPr>
        <w:t>st</w:t>
      </w:r>
      <w:r>
        <w:t>-12</w:t>
      </w:r>
      <w:r>
        <w:tab/>
        <w:t>months</w:t>
      </w:r>
      <w:r>
        <w:tab/>
        <w:t xml:space="preserve"> </w:t>
      </w:r>
      <w:r w:rsidRPr="00C0350D">
        <w:t>(after 12 months of ticket use)</w:t>
      </w:r>
    </w:p>
    <w:p w14:paraId="6CD1129D" w14:textId="16575433" w:rsidR="00C0350D" w:rsidRPr="00C0350D" w:rsidRDefault="00C0350D" w:rsidP="00C0350D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 xml:space="preserve">Complete 3 months of work at Trial Work Level (TWL), </w:t>
      </w:r>
      <w:r w:rsidRPr="00C0350D">
        <w:rPr>
          <w:rFonts w:cs="Arial"/>
          <w:szCs w:val="28"/>
        </w:rPr>
        <w:t>O</w:t>
      </w:r>
      <w:r w:rsidRPr="00C0350D">
        <w:rPr>
          <w:rFonts w:cs="Arial"/>
          <w:bCs/>
          <w:szCs w:val="28"/>
        </w:rPr>
        <w:t>R</w:t>
      </w:r>
    </w:p>
    <w:p w14:paraId="2BC3F5AA" w14:textId="2F45D4E3" w:rsidR="00C0350D" w:rsidRPr="00C0350D" w:rsidRDefault="00C0350D" w:rsidP="00C0350D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a GED or high school diploma, OR</w:t>
      </w:r>
    </w:p>
    <w:p w14:paraId="17B45280" w14:textId="2504D053" w:rsidR="00C0350D" w:rsidRPr="00436E40" w:rsidRDefault="00C0350D" w:rsidP="00436E40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60% of a full-time course load for an academic year in</w:t>
      </w:r>
      <w:r w:rsidR="00436E40">
        <w:rPr>
          <w:rFonts w:cs="Arial"/>
          <w:bCs/>
          <w:szCs w:val="28"/>
        </w:rPr>
        <w:t xml:space="preserve"> </w:t>
      </w:r>
      <w:r w:rsidRPr="00436E40">
        <w:rPr>
          <w:rFonts w:cs="Arial"/>
          <w:bCs/>
          <w:szCs w:val="28"/>
        </w:rPr>
        <w:t>a college or technical/trade/vocational training program, OR</w:t>
      </w:r>
    </w:p>
    <w:p w14:paraId="7BCDC6DF" w14:textId="77777777" w:rsidR="00C0350D" w:rsidRPr="00C0350D" w:rsidRDefault="00C0350D" w:rsidP="00C0350D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 xml:space="preserve">Complete a combination of this work and education </w:t>
      </w:r>
      <w:proofErr w:type="gramStart"/>
      <w:r w:rsidRPr="00C0350D">
        <w:rPr>
          <w:rFonts w:cs="Arial"/>
          <w:bCs/>
          <w:szCs w:val="28"/>
        </w:rPr>
        <w:t>requirement</w:t>
      </w:r>
      <w:proofErr w:type="gramEnd"/>
    </w:p>
    <w:p w14:paraId="20535911" w14:textId="7DEC8C5A" w:rsidR="00C0350D" w:rsidRPr="00C0350D" w:rsidRDefault="00C0350D" w:rsidP="00E52C12">
      <w:pPr>
        <w:pStyle w:val="Heading3"/>
        <w:spacing w:before="120"/>
      </w:pPr>
      <w:r w:rsidRPr="00C0350D">
        <w:t>2</w:t>
      </w:r>
      <w:r w:rsidRPr="00C0350D">
        <w:rPr>
          <w:vertAlign w:val="superscript"/>
        </w:rPr>
        <w:t xml:space="preserve">nd </w:t>
      </w:r>
      <w:r w:rsidRPr="00C0350D">
        <w:t xml:space="preserve">-12 months </w:t>
      </w:r>
      <w:r w:rsidRPr="00C0350D">
        <w:tab/>
        <w:t>(13-24 months of ticket use)</w:t>
      </w:r>
    </w:p>
    <w:p w14:paraId="388CA4FD" w14:textId="77777777" w:rsidR="00C0350D" w:rsidRPr="00C0350D" w:rsidRDefault="00C0350D" w:rsidP="00C0350D">
      <w:pPr>
        <w:pStyle w:val="ListParagraph"/>
        <w:numPr>
          <w:ilvl w:val="0"/>
          <w:numId w:val="13"/>
        </w:numPr>
        <w:tabs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6 months of work at Trial Work Level (TWL), OR</w:t>
      </w:r>
    </w:p>
    <w:p w14:paraId="06A24027" w14:textId="76D16675" w:rsidR="00C0350D" w:rsidRPr="00436E40" w:rsidRDefault="00C0350D" w:rsidP="00436E40">
      <w:pPr>
        <w:pStyle w:val="ListParagraph"/>
        <w:numPr>
          <w:ilvl w:val="0"/>
          <w:numId w:val="13"/>
        </w:numPr>
        <w:tabs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75% of a full-time course load for an academic year in</w:t>
      </w:r>
      <w:r w:rsidR="00436E40">
        <w:rPr>
          <w:rFonts w:cs="Arial"/>
          <w:bCs/>
          <w:szCs w:val="28"/>
        </w:rPr>
        <w:t xml:space="preserve"> </w:t>
      </w:r>
      <w:r w:rsidRPr="00436E40">
        <w:rPr>
          <w:rFonts w:cs="Arial"/>
          <w:bCs/>
          <w:szCs w:val="28"/>
        </w:rPr>
        <w:t>a college or technical/trade/vocational training program, OR</w:t>
      </w:r>
    </w:p>
    <w:p w14:paraId="1983BB2A" w14:textId="77777777" w:rsidR="00C0350D" w:rsidRPr="00C0350D" w:rsidRDefault="00C0350D" w:rsidP="00C0350D">
      <w:pPr>
        <w:pStyle w:val="ListParagraph"/>
        <w:numPr>
          <w:ilvl w:val="0"/>
          <w:numId w:val="13"/>
        </w:numPr>
        <w:tabs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 xml:space="preserve">Complete a combination of this work and education </w:t>
      </w:r>
      <w:proofErr w:type="gramStart"/>
      <w:r w:rsidRPr="00C0350D">
        <w:rPr>
          <w:rFonts w:cs="Arial"/>
          <w:bCs/>
          <w:szCs w:val="28"/>
        </w:rPr>
        <w:t>requirement</w:t>
      </w:r>
      <w:proofErr w:type="gramEnd"/>
    </w:p>
    <w:p w14:paraId="6DAFE710" w14:textId="5A5489D1" w:rsidR="00C0350D" w:rsidRPr="00C0350D" w:rsidRDefault="00C0350D" w:rsidP="00E52C12">
      <w:pPr>
        <w:pStyle w:val="Heading3"/>
        <w:spacing w:before="120"/>
      </w:pPr>
      <w:r w:rsidRPr="00C0350D">
        <w:t>3</w:t>
      </w:r>
      <w:r w:rsidRPr="00C0350D">
        <w:rPr>
          <w:vertAlign w:val="superscript"/>
        </w:rPr>
        <w:t>rd</w:t>
      </w:r>
      <w:r w:rsidRPr="00C0350D">
        <w:t>-12 months</w:t>
      </w:r>
      <w:r w:rsidRPr="00C0350D">
        <w:tab/>
        <w:t>(25-36 months of ticket use)</w:t>
      </w:r>
    </w:p>
    <w:p w14:paraId="1040427B" w14:textId="783805BE" w:rsidR="00C0350D" w:rsidRPr="00436E40" w:rsidRDefault="00C0350D" w:rsidP="00436E40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ind w:right="-39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9 months or work at Substantial Gainful Activity</w:t>
      </w:r>
      <w:r w:rsidR="00436E40">
        <w:rPr>
          <w:rFonts w:cs="Arial"/>
          <w:bCs/>
          <w:szCs w:val="28"/>
        </w:rPr>
        <w:t xml:space="preserve">, </w:t>
      </w:r>
      <w:r w:rsidRPr="00436E40">
        <w:rPr>
          <w:rFonts w:cs="Arial"/>
          <w:bCs/>
          <w:szCs w:val="28"/>
        </w:rPr>
        <w:t>OR</w:t>
      </w:r>
    </w:p>
    <w:p w14:paraId="0C43314B" w14:textId="18413CAB" w:rsidR="00C0350D" w:rsidRPr="00C0350D" w:rsidRDefault="00C0350D" w:rsidP="00C0350D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ind w:right="-39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an additional full-time academic year of study, OR</w:t>
      </w:r>
    </w:p>
    <w:p w14:paraId="08C6BE1A" w14:textId="19C11C4D" w:rsidR="00C0350D" w:rsidRPr="00C0350D" w:rsidRDefault="00C0350D" w:rsidP="00C0350D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ind w:right="-39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a 2-year or 4-year college program, OR</w:t>
      </w:r>
    </w:p>
    <w:p w14:paraId="4B77933B" w14:textId="206787F2" w:rsidR="00C0350D" w:rsidRPr="00C0350D" w:rsidRDefault="00C0350D" w:rsidP="00C0350D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ind w:right="-39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a 2-year technical/trade/vocational training program, OR</w:t>
      </w:r>
    </w:p>
    <w:p w14:paraId="45582995" w14:textId="77777777" w:rsidR="00C0350D" w:rsidRPr="00C0350D" w:rsidRDefault="00C0350D" w:rsidP="00C0350D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ind w:right="-39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 xml:space="preserve">Complete a combination of this work and education </w:t>
      </w:r>
      <w:proofErr w:type="gramStart"/>
      <w:r w:rsidRPr="00C0350D">
        <w:rPr>
          <w:rFonts w:cs="Arial"/>
          <w:bCs/>
          <w:szCs w:val="28"/>
        </w:rPr>
        <w:t>requirement</w:t>
      </w:r>
      <w:proofErr w:type="gramEnd"/>
    </w:p>
    <w:p w14:paraId="6240093A" w14:textId="3ED71DD0" w:rsidR="00C0350D" w:rsidRPr="00C0350D" w:rsidRDefault="00C0350D" w:rsidP="00E52C12">
      <w:pPr>
        <w:pStyle w:val="Heading3"/>
        <w:spacing w:before="120"/>
      </w:pPr>
      <w:r w:rsidRPr="00C0350D">
        <w:t>4</w:t>
      </w:r>
      <w:r w:rsidRPr="00C0350D">
        <w:rPr>
          <w:vertAlign w:val="superscript"/>
        </w:rPr>
        <w:t>th</w:t>
      </w:r>
      <w:r w:rsidRPr="00C0350D">
        <w:t>-12</w:t>
      </w:r>
      <w:r w:rsidRPr="00C0350D">
        <w:tab/>
        <w:t>months</w:t>
      </w:r>
      <w:r w:rsidRPr="00C0350D">
        <w:tab/>
        <w:t>(37-48 months of ticket use)</w:t>
      </w:r>
    </w:p>
    <w:p w14:paraId="4DAED694" w14:textId="5D9F98AA" w:rsidR="00C0350D" w:rsidRPr="00436E40" w:rsidRDefault="00C0350D" w:rsidP="00436E40">
      <w:pPr>
        <w:pStyle w:val="ListParagraph"/>
        <w:numPr>
          <w:ilvl w:val="0"/>
          <w:numId w:val="17"/>
        </w:numPr>
        <w:tabs>
          <w:tab w:val="left" w:pos="720"/>
          <w:tab w:val="left" w:pos="900"/>
        </w:tabs>
        <w:ind w:right="-57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9 months of work at Substantial Gainful Activity</w:t>
      </w:r>
      <w:r w:rsidR="00436E40">
        <w:rPr>
          <w:rFonts w:cs="Arial"/>
          <w:bCs/>
          <w:szCs w:val="28"/>
        </w:rPr>
        <w:t xml:space="preserve">, </w:t>
      </w:r>
      <w:r w:rsidRPr="00436E40">
        <w:rPr>
          <w:rFonts w:cs="Arial"/>
          <w:bCs/>
          <w:szCs w:val="28"/>
        </w:rPr>
        <w:t>OR</w:t>
      </w:r>
    </w:p>
    <w:p w14:paraId="476AC3CE" w14:textId="4EB0A55F" w:rsidR="00C0350D" w:rsidRPr="00C0350D" w:rsidRDefault="00C0350D" w:rsidP="00C0350D">
      <w:pPr>
        <w:pStyle w:val="ListParagraph"/>
        <w:numPr>
          <w:ilvl w:val="0"/>
          <w:numId w:val="17"/>
        </w:numPr>
        <w:tabs>
          <w:tab w:val="left" w:pos="720"/>
          <w:tab w:val="left" w:pos="900"/>
        </w:tabs>
        <w:ind w:right="-57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an additional academic year of full-time study, OR</w:t>
      </w:r>
    </w:p>
    <w:p w14:paraId="65E6A015" w14:textId="77777777" w:rsidR="00C0350D" w:rsidRPr="00C0350D" w:rsidRDefault="00C0350D" w:rsidP="00C0350D">
      <w:pPr>
        <w:pStyle w:val="ListParagraph"/>
        <w:numPr>
          <w:ilvl w:val="0"/>
          <w:numId w:val="17"/>
        </w:numPr>
        <w:tabs>
          <w:tab w:val="left" w:pos="720"/>
          <w:tab w:val="left" w:pos="900"/>
        </w:tabs>
        <w:ind w:right="-57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 xml:space="preserve">Complete a combination of this work and education </w:t>
      </w:r>
      <w:proofErr w:type="gramStart"/>
      <w:r w:rsidRPr="00C0350D">
        <w:rPr>
          <w:rFonts w:cs="Arial"/>
          <w:bCs/>
          <w:szCs w:val="28"/>
        </w:rPr>
        <w:t>requirement</w:t>
      </w:r>
      <w:proofErr w:type="gramEnd"/>
    </w:p>
    <w:p w14:paraId="5B983532" w14:textId="69C511C3" w:rsidR="00C0350D" w:rsidRPr="00C0350D" w:rsidRDefault="00C0350D" w:rsidP="00E52C12">
      <w:pPr>
        <w:pStyle w:val="Heading3"/>
        <w:spacing w:before="120"/>
      </w:pPr>
      <w:r w:rsidRPr="00C0350D">
        <w:lastRenderedPageBreak/>
        <w:t>5</w:t>
      </w:r>
      <w:r w:rsidRPr="00C0350D">
        <w:rPr>
          <w:vertAlign w:val="superscript"/>
        </w:rPr>
        <w:t>th</w:t>
      </w:r>
      <w:r w:rsidRPr="00C0350D">
        <w:t xml:space="preserve">-12 months </w:t>
      </w:r>
      <w:r w:rsidRPr="00C0350D">
        <w:tab/>
        <w:t>(49-60 months of ticket use)</w:t>
      </w:r>
    </w:p>
    <w:p w14:paraId="793DAAC2" w14:textId="77777777" w:rsidR="00C0350D" w:rsidRPr="00C0350D" w:rsidRDefault="00C0350D" w:rsidP="00C0350D">
      <w:pPr>
        <w:pStyle w:val="ListParagraph"/>
        <w:numPr>
          <w:ilvl w:val="0"/>
          <w:numId w:val="19"/>
        </w:numPr>
        <w:tabs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6 months of work at Substantial Gainful Activity</w:t>
      </w:r>
    </w:p>
    <w:p w14:paraId="4DCCCE62" w14:textId="48476764" w:rsidR="00C0350D" w:rsidRPr="00436E40" w:rsidRDefault="00C0350D" w:rsidP="00436E40">
      <w:pPr>
        <w:pStyle w:val="ListParagraph"/>
        <w:numPr>
          <w:ilvl w:val="1"/>
          <w:numId w:val="19"/>
        </w:numPr>
        <w:tabs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 xml:space="preserve">(SGA) level with no SSDI and/or SSI cash benefits in </w:t>
      </w:r>
      <w:r w:rsidRPr="00436E40">
        <w:rPr>
          <w:rFonts w:cs="Arial"/>
          <w:bCs/>
          <w:szCs w:val="28"/>
        </w:rPr>
        <w:t>months worked, OR</w:t>
      </w:r>
    </w:p>
    <w:p w14:paraId="451673D2" w14:textId="76564356" w:rsidR="00C0350D" w:rsidRPr="00C0350D" w:rsidRDefault="00C0350D" w:rsidP="00C0350D">
      <w:pPr>
        <w:pStyle w:val="ListParagraph"/>
        <w:numPr>
          <w:ilvl w:val="0"/>
          <w:numId w:val="19"/>
        </w:numPr>
        <w:tabs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an additional academic year of full-time study, OR</w:t>
      </w:r>
    </w:p>
    <w:p w14:paraId="0966208D" w14:textId="77777777" w:rsidR="00C0350D" w:rsidRPr="00C0350D" w:rsidRDefault="00C0350D" w:rsidP="00C0350D">
      <w:pPr>
        <w:pStyle w:val="ListParagraph"/>
        <w:numPr>
          <w:ilvl w:val="0"/>
          <w:numId w:val="19"/>
        </w:numPr>
        <w:tabs>
          <w:tab w:val="left" w:pos="720"/>
          <w:tab w:val="left" w:pos="900"/>
        </w:tabs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 xml:space="preserve">Complete a 4-year degree </w:t>
      </w:r>
      <w:proofErr w:type="gramStart"/>
      <w:r w:rsidRPr="00C0350D">
        <w:rPr>
          <w:rFonts w:cs="Arial"/>
          <w:bCs/>
          <w:szCs w:val="28"/>
        </w:rPr>
        <w:t>program</w:t>
      </w:r>
      <w:proofErr w:type="gramEnd"/>
    </w:p>
    <w:p w14:paraId="2DFB6BDC" w14:textId="25D76C22" w:rsidR="00C0350D" w:rsidRPr="00C0350D" w:rsidRDefault="00C0350D" w:rsidP="00E52C12">
      <w:pPr>
        <w:pStyle w:val="Heading3"/>
        <w:spacing w:before="120"/>
      </w:pPr>
      <w:r w:rsidRPr="00C0350D">
        <w:t>6</w:t>
      </w:r>
      <w:r w:rsidRPr="00C0350D">
        <w:rPr>
          <w:vertAlign w:val="superscript"/>
        </w:rPr>
        <w:t>th</w:t>
      </w:r>
      <w:r w:rsidRPr="00C0350D">
        <w:t xml:space="preserve">-12 months </w:t>
      </w:r>
      <w:r w:rsidRPr="00C0350D">
        <w:tab/>
        <w:t>(61-72 months of ticket use)</w:t>
      </w:r>
    </w:p>
    <w:p w14:paraId="216597F6" w14:textId="61B9758A" w:rsidR="00C0350D" w:rsidRPr="00436E40" w:rsidRDefault="00C0350D" w:rsidP="00436E40">
      <w:pPr>
        <w:pStyle w:val="ListParagraph"/>
        <w:numPr>
          <w:ilvl w:val="0"/>
          <w:numId w:val="21"/>
        </w:numPr>
        <w:tabs>
          <w:tab w:val="left" w:pos="720"/>
          <w:tab w:val="left" w:pos="900"/>
        </w:tabs>
        <w:ind w:right="-39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 xml:space="preserve">Complete 6 months of work at Substantial Gainful Activity (SGA) level with </w:t>
      </w:r>
      <w:r w:rsidRPr="00436E40">
        <w:rPr>
          <w:rFonts w:cs="Arial"/>
          <w:bCs/>
          <w:szCs w:val="28"/>
        </w:rPr>
        <w:t>no SSDI and/ or SSI cash benefits in months worked, OR</w:t>
      </w:r>
    </w:p>
    <w:p w14:paraId="51838551" w14:textId="77777777" w:rsidR="00C0350D" w:rsidRPr="00C0350D" w:rsidRDefault="00C0350D" w:rsidP="00C0350D">
      <w:pPr>
        <w:pStyle w:val="ListParagraph"/>
        <w:numPr>
          <w:ilvl w:val="0"/>
          <w:numId w:val="21"/>
        </w:numPr>
        <w:tabs>
          <w:tab w:val="left" w:pos="720"/>
          <w:tab w:val="left" w:pos="900"/>
        </w:tabs>
        <w:ind w:right="-39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 xml:space="preserve">Complete a 4-year degree </w:t>
      </w:r>
      <w:proofErr w:type="gramStart"/>
      <w:r w:rsidRPr="00C0350D">
        <w:rPr>
          <w:rFonts w:cs="Arial"/>
          <w:bCs/>
          <w:szCs w:val="28"/>
        </w:rPr>
        <w:t>program</w:t>
      </w:r>
      <w:proofErr w:type="gramEnd"/>
    </w:p>
    <w:p w14:paraId="3D9E632C" w14:textId="7E306A93" w:rsidR="00C0350D" w:rsidRPr="00425A0B" w:rsidRDefault="00C0350D" w:rsidP="00C0350D">
      <w:pPr>
        <w:tabs>
          <w:tab w:val="left" w:pos="720"/>
          <w:tab w:val="left" w:pos="900"/>
          <w:tab w:val="left" w:pos="2250"/>
        </w:tabs>
        <w:spacing w:before="120"/>
        <w:ind w:right="-396"/>
        <w:rPr>
          <w:rFonts w:eastAsiaTheme="majorEastAsia" w:cstheme="majorBidi"/>
          <w:bCs/>
          <w:u w:val="single"/>
        </w:rPr>
      </w:pPr>
      <w:r w:rsidRPr="00C0350D">
        <w:rPr>
          <w:rStyle w:val="Heading3Char"/>
        </w:rPr>
        <w:t>7</w:t>
      </w:r>
      <w:r w:rsidRPr="00425A0B">
        <w:rPr>
          <w:rStyle w:val="Heading3Char"/>
          <w:vertAlign w:val="superscript"/>
        </w:rPr>
        <w:t>th</w:t>
      </w:r>
      <w:r w:rsidRPr="00C0350D">
        <w:rPr>
          <w:rStyle w:val="Heading3Char"/>
        </w:rPr>
        <w:t xml:space="preserve">-12 months </w:t>
      </w:r>
      <w:r w:rsidRPr="00C0350D">
        <w:rPr>
          <w:rStyle w:val="Heading3Char"/>
        </w:rPr>
        <w:tab/>
        <w:t>(73-84 months of ticket use</w:t>
      </w:r>
      <w:r w:rsidRPr="00C0350D">
        <w:rPr>
          <w:rFonts w:cs="Arial"/>
          <w:bCs/>
          <w:szCs w:val="28"/>
        </w:rPr>
        <w:t>)</w:t>
      </w:r>
    </w:p>
    <w:p w14:paraId="004F544C" w14:textId="77777777" w:rsidR="00C0350D" w:rsidRPr="00C0350D" w:rsidRDefault="00C0350D" w:rsidP="00C0350D">
      <w:pPr>
        <w:pStyle w:val="ListParagraph"/>
        <w:numPr>
          <w:ilvl w:val="0"/>
          <w:numId w:val="23"/>
        </w:numPr>
        <w:tabs>
          <w:tab w:val="left" w:pos="720"/>
          <w:tab w:val="left" w:pos="900"/>
        </w:tabs>
        <w:ind w:right="-39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Complete 6 months of work at Substantial Gainful Activity</w:t>
      </w:r>
    </w:p>
    <w:p w14:paraId="7E619BC2" w14:textId="77777777" w:rsidR="00635471" w:rsidRDefault="00C0350D" w:rsidP="00436E40">
      <w:pPr>
        <w:pStyle w:val="ListParagraph"/>
        <w:numPr>
          <w:ilvl w:val="1"/>
          <w:numId w:val="23"/>
        </w:numPr>
        <w:tabs>
          <w:tab w:val="left" w:pos="720"/>
          <w:tab w:val="left" w:pos="900"/>
        </w:tabs>
        <w:ind w:right="-396"/>
        <w:rPr>
          <w:rFonts w:cs="Arial"/>
          <w:bCs/>
          <w:szCs w:val="28"/>
        </w:rPr>
      </w:pPr>
      <w:r w:rsidRPr="00C0350D">
        <w:rPr>
          <w:rFonts w:cs="Arial"/>
          <w:bCs/>
          <w:szCs w:val="28"/>
        </w:rPr>
        <w:t>(SGA) level with no SSDI and/or SSI cash benefits in</w:t>
      </w:r>
      <w:r w:rsidR="00436E40">
        <w:rPr>
          <w:rFonts w:cs="Arial"/>
          <w:bCs/>
          <w:szCs w:val="28"/>
        </w:rPr>
        <w:t xml:space="preserve"> </w:t>
      </w:r>
      <w:r w:rsidRPr="00436E40">
        <w:rPr>
          <w:rFonts w:cs="Arial"/>
          <w:bCs/>
          <w:szCs w:val="28"/>
        </w:rPr>
        <w:t>months worked *</w:t>
      </w:r>
    </w:p>
    <w:p w14:paraId="5FDADE8A" w14:textId="77777777" w:rsidR="002D3B07" w:rsidRDefault="002D3B07" w:rsidP="00436E40">
      <w:pPr>
        <w:ind w:right="936"/>
        <w:rPr>
          <w:rFonts w:cs="Arial"/>
          <w:bCs/>
          <w:szCs w:val="28"/>
        </w:rPr>
      </w:pPr>
    </w:p>
    <w:p w14:paraId="23DA56A0" w14:textId="22758F00" w:rsidR="00436E40" w:rsidRPr="00436E40" w:rsidRDefault="00436E40" w:rsidP="00425A0B">
      <w:pPr>
        <w:ind w:right="936"/>
        <w:rPr>
          <w:rFonts w:cs="Arial"/>
          <w:bCs/>
          <w:szCs w:val="28"/>
        </w:rPr>
      </w:pPr>
      <w:r w:rsidRPr="00436E40">
        <w:rPr>
          <w:rFonts w:cs="Arial"/>
          <w:bCs/>
          <w:szCs w:val="28"/>
        </w:rPr>
        <w:t>*The guidelines for any subsequent 12-month Progress Review are the same as for the 7</w:t>
      </w:r>
      <w:r w:rsidRPr="00436E40">
        <w:rPr>
          <w:rFonts w:cs="Arial"/>
          <w:bCs/>
          <w:szCs w:val="28"/>
          <w:vertAlign w:val="superscript"/>
        </w:rPr>
        <w:t>th</w:t>
      </w:r>
      <w:r w:rsidRPr="00436E40">
        <w:rPr>
          <w:rFonts w:cs="Arial"/>
          <w:bCs/>
          <w:szCs w:val="28"/>
        </w:rPr>
        <w:t xml:space="preserve"> 12-month Progress Review.</w:t>
      </w:r>
    </w:p>
    <w:sectPr w:rsidR="00436E40" w:rsidRPr="00436E40" w:rsidSect="00EC19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B329" w14:textId="77777777" w:rsidR="00727DB5" w:rsidRDefault="00727DB5" w:rsidP="00EC19C5">
      <w:r>
        <w:separator/>
      </w:r>
    </w:p>
  </w:endnote>
  <w:endnote w:type="continuationSeparator" w:id="0">
    <w:p w14:paraId="353F600A" w14:textId="77777777" w:rsidR="00727DB5" w:rsidRDefault="00727DB5" w:rsidP="00EC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1900" w14:textId="77777777" w:rsidR="00635471" w:rsidRDefault="00635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65EA" w14:textId="14014E22" w:rsidR="00EC19C5" w:rsidRPr="00EC19C5" w:rsidRDefault="00EC19C5">
    <w:pPr>
      <w:pStyle w:val="Footer"/>
      <w:rPr>
        <w:rFonts w:cs="Arial"/>
        <w:color w:val="000000" w:themeColor="text1"/>
      </w:rPr>
    </w:pPr>
  </w:p>
  <w:p w14:paraId="36C988D1" w14:textId="618B41C5" w:rsidR="00EC19C5" w:rsidRDefault="00EC1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0A01" w14:textId="77777777" w:rsidR="00635471" w:rsidRDefault="00635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687D" w14:textId="77777777" w:rsidR="00727DB5" w:rsidRDefault="00727DB5" w:rsidP="00EC19C5">
      <w:r>
        <w:separator/>
      </w:r>
    </w:p>
  </w:footnote>
  <w:footnote w:type="continuationSeparator" w:id="0">
    <w:p w14:paraId="48891A20" w14:textId="77777777" w:rsidR="00727DB5" w:rsidRDefault="00727DB5" w:rsidP="00EC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144A" w14:textId="77777777" w:rsidR="00635471" w:rsidRDefault="00635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E616" w14:textId="77777777" w:rsidR="00635471" w:rsidRDefault="00635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0F06" w14:textId="77777777" w:rsidR="00635471" w:rsidRDefault="00635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FECE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6397C"/>
    <w:multiLevelType w:val="hybridMultilevel"/>
    <w:tmpl w:val="1CD8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683"/>
    <w:multiLevelType w:val="hybridMultilevel"/>
    <w:tmpl w:val="349A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3E9"/>
    <w:multiLevelType w:val="hybridMultilevel"/>
    <w:tmpl w:val="4E2C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D60E3"/>
    <w:multiLevelType w:val="hybridMultilevel"/>
    <w:tmpl w:val="FB76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E7A5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01C"/>
    <w:multiLevelType w:val="hybridMultilevel"/>
    <w:tmpl w:val="B460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769E"/>
    <w:multiLevelType w:val="hybridMultilevel"/>
    <w:tmpl w:val="9EA2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7605"/>
    <w:multiLevelType w:val="hybridMultilevel"/>
    <w:tmpl w:val="EDA2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63FD"/>
    <w:multiLevelType w:val="hybridMultilevel"/>
    <w:tmpl w:val="5E62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33C33"/>
    <w:multiLevelType w:val="hybridMultilevel"/>
    <w:tmpl w:val="3C6A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729B"/>
    <w:multiLevelType w:val="hybridMultilevel"/>
    <w:tmpl w:val="0F8E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7C4"/>
    <w:multiLevelType w:val="hybridMultilevel"/>
    <w:tmpl w:val="297A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32700"/>
    <w:multiLevelType w:val="hybridMultilevel"/>
    <w:tmpl w:val="D8EA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B7722"/>
    <w:multiLevelType w:val="hybridMultilevel"/>
    <w:tmpl w:val="2C42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E4470"/>
    <w:multiLevelType w:val="hybridMultilevel"/>
    <w:tmpl w:val="78DA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11921"/>
    <w:multiLevelType w:val="hybridMultilevel"/>
    <w:tmpl w:val="9FE6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131F"/>
    <w:multiLevelType w:val="hybridMultilevel"/>
    <w:tmpl w:val="870C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3BF9"/>
    <w:multiLevelType w:val="hybridMultilevel"/>
    <w:tmpl w:val="F352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54E09"/>
    <w:multiLevelType w:val="hybridMultilevel"/>
    <w:tmpl w:val="CFDE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D7CAA"/>
    <w:multiLevelType w:val="hybridMultilevel"/>
    <w:tmpl w:val="8CB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60761"/>
    <w:multiLevelType w:val="hybridMultilevel"/>
    <w:tmpl w:val="8B08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646D1"/>
    <w:multiLevelType w:val="hybridMultilevel"/>
    <w:tmpl w:val="25A4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1360">
    <w:abstractNumId w:val="12"/>
  </w:num>
  <w:num w:numId="2" w16cid:durableId="1324359804">
    <w:abstractNumId w:val="9"/>
  </w:num>
  <w:num w:numId="3" w16cid:durableId="1034765760">
    <w:abstractNumId w:val="18"/>
  </w:num>
  <w:num w:numId="4" w16cid:durableId="816915912">
    <w:abstractNumId w:val="0"/>
  </w:num>
  <w:num w:numId="5" w16cid:durableId="1534267573">
    <w:abstractNumId w:val="10"/>
  </w:num>
  <w:num w:numId="6" w16cid:durableId="1000158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0957546">
    <w:abstractNumId w:val="16"/>
  </w:num>
  <w:num w:numId="8" w16cid:durableId="865562062">
    <w:abstractNumId w:val="6"/>
  </w:num>
  <w:num w:numId="9" w16cid:durableId="16662363">
    <w:abstractNumId w:val="4"/>
  </w:num>
  <w:num w:numId="10" w16cid:durableId="1956209491">
    <w:abstractNumId w:val="15"/>
  </w:num>
  <w:num w:numId="11" w16cid:durableId="403532945">
    <w:abstractNumId w:val="20"/>
  </w:num>
  <w:num w:numId="12" w16cid:durableId="789395040">
    <w:abstractNumId w:val="1"/>
  </w:num>
  <w:num w:numId="13" w16cid:durableId="348456076">
    <w:abstractNumId w:val="17"/>
  </w:num>
  <w:num w:numId="14" w16cid:durableId="1702977184">
    <w:abstractNumId w:val="13"/>
  </w:num>
  <w:num w:numId="15" w16cid:durableId="1804500252">
    <w:abstractNumId w:val="5"/>
  </w:num>
  <w:num w:numId="16" w16cid:durableId="266357130">
    <w:abstractNumId w:val="2"/>
  </w:num>
  <w:num w:numId="17" w16cid:durableId="2116245783">
    <w:abstractNumId w:val="8"/>
  </w:num>
  <w:num w:numId="18" w16cid:durableId="1607736965">
    <w:abstractNumId w:val="7"/>
  </w:num>
  <w:num w:numId="19" w16cid:durableId="194081571">
    <w:abstractNumId w:val="3"/>
  </w:num>
  <w:num w:numId="20" w16cid:durableId="876818073">
    <w:abstractNumId w:val="14"/>
  </w:num>
  <w:num w:numId="21" w16cid:durableId="1692488256">
    <w:abstractNumId w:val="19"/>
  </w:num>
  <w:num w:numId="22" w16cid:durableId="33386747">
    <w:abstractNumId w:val="11"/>
  </w:num>
  <w:num w:numId="23" w16cid:durableId="447225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9C5"/>
    <w:rsid w:val="00010F49"/>
    <w:rsid w:val="00023893"/>
    <w:rsid w:val="000509D7"/>
    <w:rsid w:val="000A6913"/>
    <w:rsid w:val="00135C5E"/>
    <w:rsid w:val="00192BB5"/>
    <w:rsid w:val="00200A10"/>
    <w:rsid w:val="002515E6"/>
    <w:rsid w:val="00270075"/>
    <w:rsid w:val="0027308F"/>
    <w:rsid w:val="002D3B07"/>
    <w:rsid w:val="00335E44"/>
    <w:rsid w:val="003479C2"/>
    <w:rsid w:val="003526AF"/>
    <w:rsid w:val="00425A0B"/>
    <w:rsid w:val="00436599"/>
    <w:rsid w:val="00436E40"/>
    <w:rsid w:val="00452A8B"/>
    <w:rsid w:val="004679D3"/>
    <w:rsid w:val="004A43B8"/>
    <w:rsid w:val="00526E70"/>
    <w:rsid w:val="005F15F2"/>
    <w:rsid w:val="006266A1"/>
    <w:rsid w:val="00635471"/>
    <w:rsid w:val="006C69A7"/>
    <w:rsid w:val="00705441"/>
    <w:rsid w:val="00727DB5"/>
    <w:rsid w:val="00732A49"/>
    <w:rsid w:val="007731AF"/>
    <w:rsid w:val="007945EE"/>
    <w:rsid w:val="008F04E4"/>
    <w:rsid w:val="00900870"/>
    <w:rsid w:val="00960599"/>
    <w:rsid w:val="009A1BBF"/>
    <w:rsid w:val="009C72F1"/>
    <w:rsid w:val="00A5194F"/>
    <w:rsid w:val="00A9083E"/>
    <w:rsid w:val="00A93F2F"/>
    <w:rsid w:val="00AB719B"/>
    <w:rsid w:val="00B03D41"/>
    <w:rsid w:val="00B30127"/>
    <w:rsid w:val="00B82140"/>
    <w:rsid w:val="00B82320"/>
    <w:rsid w:val="00B87587"/>
    <w:rsid w:val="00C0350D"/>
    <w:rsid w:val="00C05633"/>
    <w:rsid w:val="00CC5CB9"/>
    <w:rsid w:val="00D2357F"/>
    <w:rsid w:val="00E0473A"/>
    <w:rsid w:val="00E35F38"/>
    <w:rsid w:val="00E52C12"/>
    <w:rsid w:val="00EC171D"/>
    <w:rsid w:val="00EC19C5"/>
    <w:rsid w:val="00F04316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867E7"/>
  <w15:docId w15:val="{1C0139D2-8F27-42A5-BFFB-A2B2FDDA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10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6E40"/>
    <w:pPr>
      <w:keepNext/>
      <w:keepLines/>
      <w:spacing w:before="360"/>
      <w:outlineLvl w:val="0"/>
    </w:pPr>
    <w:rPr>
      <w:rFonts w:eastAsiaTheme="majorEastAsia" w:cstheme="majorBidi"/>
      <w:b/>
      <w:bCs/>
      <w:color w:val="002060"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F38"/>
    <w:pPr>
      <w:keepNext/>
      <w:keepLines/>
      <w:spacing w:before="200"/>
      <w:outlineLvl w:val="1"/>
    </w:pPr>
    <w:rPr>
      <w:rFonts w:eastAsiaTheme="majorEastAsia" w:cstheme="majorBidi"/>
      <w:b/>
      <w:bCs/>
      <w:color w:val="00206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F38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F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5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19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C1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9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9C5"/>
    <w:rPr>
      <w:sz w:val="24"/>
      <w:szCs w:val="24"/>
    </w:rPr>
  </w:style>
  <w:style w:type="paragraph" w:customStyle="1" w:styleId="A0E349F008B644AAB6A282E0D042D17E">
    <w:name w:val="A0E349F008B644AAB6A282E0D042D17E"/>
    <w:rsid w:val="00EC19C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6E40"/>
    <w:rPr>
      <w:rFonts w:ascii="Arial" w:eastAsiaTheme="majorEastAsia" w:hAnsi="Arial" w:cstheme="majorBidi"/>
      <w:b/>
      <w:bCs/>
      <w:color w:val="002060"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5F38"/>
    <w:rPr>
      <w:rFonts w:ascii="Arial" w:eastAsiaTheme="majorEastAsia" w:hAnsi="Arial" w:cstheme="majorBidi"/>
      <w:b/>
      <w:bCs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5F38"/>
    <w:rPr>
      <w:rFonts w:ascii="Arial" w:eastAsiaTheme="majorEastAsia" w:hAnsi="Arial" w:cstheme="majorBidi"/>
      <w:bCs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F4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TableGrid">
    <w:name w:val="Table Grid"/>
    <w:basedOn w:val="TableNormal"/>
    <w:uiPriority w:val="59"/>
    <w:rsid w:val="00010F4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0F49"/>
    <w:pPr>
      <w:ind w:left="720"/>
      <w:contextualSpacing/>
    </w:pPr>
    <w:rPr>
      <w:rFonts w:eastAsiaTheme="minorHAnsi"/>
      <w:szCs w:val="20"/>
    </w:rPr>
  </w:style>
  <w:style w:type="paragraph" w:styleId="ListBullet">
    <w:name w:val="List Bullet"/>
    <w:basedOn w:val="Normal"/>
    <w:uiPriority w:val="99"/>
    <w:unhideWhenUsed/>
    <w:rsid w:val="00705441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7308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308F"/>
    <w:rPr>
      <w:rFonts w:ascii="Arial" w:eastAsiaTheme="minorHAnsi" w:hAnsi="Arial" w:cstheme="minorBidi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0350D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50D"/>
    <w:rPr>
      <w:rFonts w:asciiTheme="majorHAnsi" w:eastAsiaTheme="majorEastAsia" w:hAnsiTheme="majorHAnsi" w:cstheme="majorBidi"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33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TW%20Protocol%20for%20DOR%20Staff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Forms/DR0343%20B%20(Referral%20to%20Employment%20Network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hoosework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../Fact%20Sheets/TTW%20Fact%20Sheets/TTW%20Beneficiary%20Fact%20Sheet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792-46E7-4B94-B11B-E20063EA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Dept. of Rehabilitation, Social Security Programs Section, v1.0</dc:creator>
  <cp:lastModifiedBy>Fong, Kevin C@DOR</cp:lastModifiedBy>
  <cp:revision>23</cp:revision>
  <dcterms:created xsi:type="dcterms:W3CDTF">2016-07-21T16:19:00Z</dcterms:created>
  <dcterms:modified xsi:type="dcterms:W3CDTF">2023-05-22T21:58:00Z</dcterms:modified>
</cp:coreProperties>
</file>